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Wednesday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25th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Harlem Campus – 691 St. Nicholas Avenue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-30" w:right="-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340" w:right="-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Welcome and Public Comment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Approval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Minutes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Annual Report + Renewal/SED Visit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 Self-Evaluation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 Manual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Goals and planning for Committees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Chief of Schools Report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Treasurer's Report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Malanga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Rendon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Attached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i0xjmmlqlx8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fafhgtnn5fe1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Attached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O6z5iic07nHaSS/gAvMNkqW6w==">AMUW2mVExriKO94OxL3t2R/eRnRjlyXIEHmmw6BS19fErsb9dEQ6k3CWk+xM2ELAxbh1uT/eBXTrFane0St0QnxzVUyKg5GkcN4Y9UTL5f6HckZ6Cp+vsrfGn1PpAER9K4d7tL5tGanK7h8YrsF8MK/RtOxA+ehMsInK+HXV5QIq1l0KpmMhzjzaz7U3Fct5EgidEItrveZo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2021-08-13T16:17:00Z</dcterms:created>
  <dc:creator>Analiza Wolf</dc:creator>
</cp:coreProperties>
</file>